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A5" w:rsidRDefault="005F70A5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0A5">
        <w:rPr>
          <w:rFonts w:ascii="Times New Roman" w:hAnsi="Times New Roman" w:cs="Times New Roman"/>
          <w:sz w:val="24"/>
          <w:szCs w:val="24"/>
        </w:rPr>
        <w:t>«</w:t>
      </w:r>
      <w:r w:rsidR="00DE7FD2" w:rsidRPr="005F70A5">
        <w:rPr>
          <w:rFonts w:ascii="Times New Roman" w:hAnsi="Times New Roman" w:cs="Times New Roman"/>
          <w:sz w:val="24"/>
          <w:szCs w:val="24"/>
        </w:rPr>
        <w:t>УТВЕРЖДАЮ»</w:t>
      </w:r>
    </w:p>
    <w:p w:rsidR="005F70A5" w:rsidRPr="005F70A5" w:rsidRDefault="005F70A5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0A5" w:rsidRDefault="00534149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5A9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F70A5" w:rsidRPr="005F70A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0A5">
        <w:rPr>
          <w:rFonts w:ascii="Times New Roman" w:hAnsi="Times New Roman" w:cs="Times New Roman"/>
          <w:sz w:val="24"/>
          <w:szCs w:val="24"/>
        </w:rPr>
        <w:t xml:space="preserve"> </w:t>
      </w:r>
      <w:r w:rsidR="005F70A5" w:rsidRPr="005F70A5">
        <w:rPr>
          <w:rFonts w:ascii="Times New Roman" w:hAnsi="Times New Roman" w:cs="Times New Roman"/>
          <w:sz w:val="24"/>
          <w:szCs w:val="24"/>
        </w:rPr>
        <w:t xml:space="preserve">ФГУП </w:t>
      </w:r>
    </w:p>
    <w:p w:rsidR="005F70A5" w:rsidRDefault="005F70A5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0A5">
        <w:rPr>
          <w:rFonts w:ascii="Times New Roman" w:hAnsi="Times New Roman" w:cs="Times New Roman"/>
          <w:sz w:val="24"/>
          <w:szCs w:val="24"/>
        </w:rPr>
        <w:t>«НИИФП им. Ф В.Лукина»</w:t>
      </w:r>
    </w:p>
    <w:p w:rsidR="005F70A5" w:rsidRDefault="005F70A5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0A5" w:rsidRDefault="00534149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</w:t>
      </w:r>
      <w:r w:rsidR="005F70A5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70A5">
        <w:rPr>
          <w:rFonts w:ascii="Times New Roman" w:hAnsi="Times New Roman" w:cs="Times New Roman"/>
          <w:sz w:val="24"/>
          <w:szCs w:val="24"/>
        </w:rPr>
        <w:t>.</w:t>
      </w:r>
    </w:p>
    <w:p w:rsidR="005F70A5" w:rsidRDefault="005F70A5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0A5" w:rsidRPr="005F70A5" w:rsidRDefault="00BE0B90" w:rsidP="005F7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Pr="00EC76D1">
        <w:rPr>
          <w:rFonts w:ascii="Times New Roman" w:hAnsi="Times New Roman" w:cs="Times New Roman"/>
          <w:sz w:val="24"/>
          <w:szCs w:val="24"/>
        </w:rPr>
        <w:t>__</w:t>
      </w:r>
      <w:r w:rsidR="005F70A5">
        <w:rPr>
          <w:rFonts w:ascii="Times New Roman" w:hAnsi="Times New Roman" w:cs="Times New Roman"/>
          <w:sz w:val="24"/>
          <w:szCs w:val="24"/>
        </w:rPr>
        <w:t>__________</w:t>
      </w:r>
      <w:r w:rsidR="00B04FBC" w:rsidRPr="00674469">
        <w:rPr>
          <w:rFonts w:ascii="Times New Roman" w:hAnsi="Times New Roman" w:cs="Times New Roman"/>
          <w:sz w:val="24"/>
          <w:szCs w:val="24"/>
        </w:rPr>
        <w:t xml:space="preserve"> </w:t>
      </w:r>
      <w:r w:rsidR="005F70A5">
        <w:rPr>
          <w:rFonts w:ascii="Times New Roman" w:hAnsi="Times New Roman" w:cs="Times New Roman"/>
          <w:sz w:val="24"/>
          <w:szCs w:val="24"/>
        </w:rPr>
        <w:t xml:space="preserve"> 20</w:t>
      </w:r>
      <w:r w:rsidR="003A17F8" w:rsidRPr="00DE7FD2">
        <w:rPr>
          <w:rFonts w:ascii="Times New Roman" w:hAnsi="Times New Roman" w:cs="Times New Roman"/>
          <w:sz w:val="24"/>
          <w:szCs w:val="24"/>
        </w:rPr>
        <w:t>1</w:t>
      </w:r>
      <w:r w:rsidR="00534149">
        <w:rPr>
          <w:rFonts w:ascii="Times New Roman" w:hAnsi="Times New Roman" w:cs="Times New Roman"/>
          <w:sz w:val="24"/>
          <w:szCs w:val="24"/>
        </w:rPr>
        <w:t>7</w:t>
      </w:r>
      <w:r w:rsidR="005F70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0A5" w:rsidRPr="005F70A5" w:rsidRDefault="005F70A5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A5" w:rsidRDefault="005F70A5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A5" w:rsidRDefault="005F70A5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A5" w:rsidRDefault="005F70A5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A5" w:rsidRDefault="005F70A5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679" w:rsidRPr="00BE0B90" w:rsidRDefault="00481679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1679" w:rsidRPr="00481679" w:rsidRDefault="00481679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679">
        <w:rPr>
          <w:rFonts w:ascii="Times New Roman" w:hAnsi="Times New Roman" w:cs="Times New Roman"/>
          <w:sz w:val="24"/>
          <w:szCs w:val="24"/>
        </w:rPr>
        <w:t>о Центре коллективного пользования</w:t>
      </w:r>
    </w:p>
    <w:p w:rsidR="00481679" w:rsidRPr="00BE0B90" w:rsidRDefault="00481679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0B90">
        <w:rPr>
          <w:rFonts w:ascii="Times New Roman" w:hAnsi="Times New Roman" w:cs="Times New Roman"/>
          <w:bCs/>
          <w:sz w:val="24"/>
          <w:szCs w:val="24"/>
        </w:rPr>
        <w:t>«СИНХРОТРОН»</w:t>
      </w:r>
    </w:p>
    <w:p w:rsidR="006B5515" w:rsidRDefault="006B5515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1E3" w:rsidRPr="00481679" w:rsidRDefault="005021E3" w:rsidP="0048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129" w:rsidRPr="00481679" w:rsidRDefault="00622129" w:rsidP="006B5515">
      <w:pPr>
        <w:pStyle w:val="3"/>
        <w:spacing w:before="0" w:after="0"/>
        <w:jc w:val="both"/>
        <w:rPr>
          <w:sz w:val="24"/>
          <w:szCs w:val="24"/>
        </w:rPr>
      </w:pPr>
      <w:r w:rsidRPr="00481679">
        <w:rPr>
          <w:sz w:val="24"/>
          <w:szCs w:val="24"/>
        </w:rPr>
        <w:t>1. Общие положения.</w:t>
      </w:r>
    </w:p>
    <w:p w:rsidR="006B5515" w:rsidRDefault="006B5515" w:rsidP="006B5515">
      <w:pPr>
        <w:pStyle w:val="a3"/>
        <w:spacing w:before="0" w:after="0" w:line="324" w:lineRule="auto"/>
        <w:jc w:val="both"/>
      </w:pPr>
    </w:p>
    <w:p w:rsidR="005021E3" w:rsidRDefault="00622129" w:rsidP="006B5515">
      <w:pPr>
        <w:pStyle w:val="a3"/>
        <w:spacing w:before="0" w:after="0" w:line="324" w:lineRule="auto"/>
        <w:jc w:val="both"/>
      </w:pPr>
      <w:r w:rsidRPr="00481679">
        <w:t>1.1. Центр коллективного пользования  «</w:t>
      </w:r>
      <w:r w:rsidR="00481679">
        <w:t>Синхротрон</w:t>
      </w:r>
      <w:r w:rsidRPr="00481679">
        <w:t xml:space="preserve">», именуемый в дальнейшем ЦКП, образован на базе </w:t>
      </w:r>
      <w:r w:rsidR="00481679">
        <w:t>ФГУП «НИИФП им. Ф В.Лукина»</w:t>
      </w:r>
      <w:r w:rsidRPr="00481679">
        <w:t xml:space="preserve">  Приказом </w:t>
      </w:r>
      <w:r w:rsidR="005021E3">
        <w:t xml:space="preserve"> </w:t>
      </w:r>
      <w:r w:rsidR="009715C3">
        <w:t xml:space="preserve">ФГУП «НИИФП им. Ф </w:t>
      </w:r>
      <w:r w:rsidR="009715C3" w:rsidRPr="006B5515">
        <w:t>В.</w:t>
      </w:r>
      <w:r w:rsidR="00BE0B90" w:rsidRPr="00BE0B90">
        <w:t xml:space="preserve"> </w:t>
      </w:r>
      <w:r w:rsidR="009715C3" w:rsidRPr="006B5515">
        <w:t>Лукина»</w:t>
      </w:r>
      <w:r w:rsidR="005021E3" w:rsidRPr="006B5515">
        <w:t xml:space="preserve"> </w:t>
      </w:r>
      <w:r w:rsidRPr="006B5515">
        <w:t>№</w:t>
      </w:r>
      <w:r w:rsidR="006B5515" w:rsidRPr="006B5515">
        <w:t xml:space="preserve"> </w:t>
      </w:r>
      <w:r w:rsidR="005021E3" w:rsidRPr="006B5515">
        <w:t>93</w:t>
      </w:r>
      <w:r w:rsidRPr="006B5515">
        <w:t xml:space="preserve"> от 1</w:t>
      </w:r>
      <w:r w:rsidR="005021E3" w:rsidRPr="006B5515">
        <w:t>0</w:t>
      </w:r>
      <w:r w:rsidRPr="006B5515">
        <w:t xml:space="preserve"> </w:t>
      </w:r>
      <w:r w:rsidR="005021E3" w:rsidRPr="006B5515">
        <w:t>мая</w:t>
      </w:r>
      <w:r w:rsidRPr="006B5515">
        <w:t xml:space="preserve"> 200</w:t>
      </w:r>
      <w:r w:rsidR="005021E3" w:rsidRPr="006B5515">
        <w:t>3</w:t>
      </w:r>
      <w:r w:rsidRPr="006B5515">
        <w:t xml:space="preserve"> г. </w:t>
      </w:r>
    </w:p>
    <w:p w:rsidR="001B05A9" w:rsidRPr="006B5515" w:rsidRDefault="001B05A9" w:rsidP="006B5515">
      <w:pPr>
        <w:pStyle w:val="a3"/>
        <w:spacing w:before="0" w:after="0" w:line="324" w:lineRule="auto"/>
        <w:jc w:val="both"/>
      </w:pPr>
    </w:p>
    <w:p w:rsidR="001B05A9" w:rsidRPr="001B05A9" w:rsidRDefault="00622129" w:rsidP="001B05A9">
      <w:pPr>
        <w:pStyle w:val="ConsNormal"/>
        <w:widowControl/>
        <w:spacing w:line="324" w:lineRule="auto"/>
        <w:ind w:firstLine="0"/>
        <w:rPr>
          <w:rFonts w:ascii="Times New Roman" w:hAnsi="Times New Roman" w:cs="Times New Roman"/>
        </w:rPr>
      </w:pPr>
      <w:r w:rsidRPr="001B05A9">
        <w:rPr>
          <w:rFonts w:ascii="Times New Roman" w:hAnsi="Times New Roman" w:cs="Times New Roman"/>
        </w:rPr>
        <w:t>1.2. Местонахождение и почтовый адрес ЦКП: Москва</w:t>
      </w:r>
      <w:r w:rsidR="009715C3" w:rsidRPr="001B05A9">
        <w:rPr>
          <w:rFonts w:ascii="Times New Roman" w:hAnsi="Times New Roman" w:cs="Times New Roman"/>
        </w:rPr>
        <w:t>, Зеленоград,</w:t>
      </w:r>
      <w:r w:rsidRPr="001B05A9">
        <w:rPr>
          <w:rFonts w:ascii="Times New Roman" w:hAnsi="Times New Roman" w:cs="Times New Roman"/>
        </w:rPr>
        <w:t xml:space="preserve"> </w:t>
      </w:r>
      <w:r w:rsidR="001B05A9" w:rsidRPr="001B05A9">
        <w:rPr>
          <w:rFonts w:ascii="Times New Roman" w:hAnsi="Times New Roman" w:cs="Times New Roman"/>
        </w:rPr>
        <w:t xml:space="preserve">ул. </w:t>
      </w:r>
      <w:r w:rsidR="00534149" w:rsidRPr="001B05A9">
        <w:rPr>
          <w:rFonts w:ascii="Times New Roman" w:hAnsi="Times New Roman" w:cs="Times New Roman"/>
        </w:rPr>
        <w:t xml:space="preserve">Конструктора </w:t>
      </w:r>
      <w:proofErr w:type="spellStart"/>
      <w:r w:rsidR="00534149" w:rsidRPr="001B05A9">
        <w:rPr>
          <w:rFonts w:ascii="Times New Roman" w:hAnsi="Times New Roman" w:cs="Times New Roman"/>
        </w:rPr>
        <w:t>Гуськова</w:t>
      </w:r>
      <w:proofErr w:type="spellEnd"/>
      <w:r w:rsidR="009715C3" w:rsidRPr="001B05A9">
        <w:rPr>
          <w:rFonts w:ascii="Times New Roman" w:hAnsi="Times New Roman" w:cs="Times New Roman"/>
        </w:rPr>
        <w:t>,</w:t>
      </w:r>
      <w:r w:rsidR="006B5515" w:rsidRPr="001B05A9">
        <w:rPr>
          <w:rFonts w:ascii="Times New Roman" w:hAnsi="Times New Roman" w:cs="Times New Roman"/>
        </w:rPr>
        <w:t xml:space="preserve"> </w:t>
      </w:r>
      <w:r w:rsidR="009715C3" w:rsidRPr="001B05A9">
        <w:rPr>
          <w:rFonts w:ascii="Times New Roman" w:hAnsi="Times New Roman" w:cs="Times New Roman"/>
        </w:rPr>
        <w:t xml:space="preserve">дом 5;  почтовый адрес – 124460, Москва, Зеленоград, </w:t>
      </w:r>
      <w:r w:rsidR="001B05A9" w:rsidRPr="001B05A9">
        <w:rPr>
          <w:rFonts w:ascii="Times New Roman" w:hAnsi="Times New Roman" w:cs="Times New Roman"/>
        </w:rPr>
        <w:t>Георгиевский проспект, 5</w:t>
      </w:r>
    </w:p>
    <w:p w:rsidR="001B05A9" w:rsidRDefault="001B05A9" w:rsidP="006B5515">
      <w:pPr>
        <w:pStyle w:val="a3"/>
        <w:spacing w:before="0" w:after="0" w:line="324" w:lineRule="auto"/>
        <w:jc w:val="both"/>
      </w:pPr>
    </w:p>
    <w:p w:rsidR="00481679" w:rsidRDefault="00622129" w:rsidP="006B5515">
      <w:pPr>
        <w:pStyle w:val="a3"/>
        <w:spacing w:before="0" w:after="0" w:line="324" w:lineRule="auto"/>
        <w:jc w:val="both"/>
      </w:pPr>
      <w:r w:rsidRPr="00481679">
        <w:t>1.3. ЦКП руководствуется в своей деятельности законодательством Российской Федерации</w:t>
      </w:r>
      <w:r w:rsidR="006B5515">
        <w:t xml:space="preserve"> и</w:t>
      </w:r>
      <w:r w:rsidRPr="00481679">
        <w:t xml:space="preserve"> внутренними нормативными актами </w:t>
      </w:r>
      <w:r w:rsidR="00481679">
        <w:t>ФГУП «НИИФП им. Ф В.Лукина»</w:t>
      </w:r>
      <w:r w:rsidR="005021E3">
        <w:t>.</w:t>
      </w:r>
      <w:r w:rsidRPr="00481679">
        <w:t xml:space="preserve"> </w:t>
      </w:r>
    </w:p>
    <w:p w:rsidR="001B05A9" w:rsidRDefault="001B05A9" w:rsidP="005021E3">
      <w:pPr>
        <w:pStyle w:val="a3"/>
        <w:spacing w:before="0" w:after="0" w:line="324" w:lineRule="auto"/>
      </w:pPr>
    </w:p>
    <w:p w:rsidR="006B5515" w:rsidRDefault="00622129" w:rsidP="005021E3">
      <w:pPr>
        <w:pStyle w:val="a3"/>
        <w:spacing w:before="0" w:after="0" w:line="324" w:lineRule="auto"/>
      </w:pPr>
      <w:r w:rsidRPr="00481679">
        <w:t>1.4. Основными направлением деятельности ЦКП является:</w:t>
      </w:r>
    </w:p>
    <w:p w:rsidR="006B5515" w:rsidRDefault="00622129" w:rsidP="006B5515">
      <w:pPr>
        <w:pStyle w:val="a3"/>
        <w:spacing w:before="0" w:after="0" w:line="324" w:lineRule="auto"/>
        <w:jc w:val="both"/>
      </w:pPr>
      <w:r w:rsidRPr="00481679">
        <w:t> обеспечение проведения исследовательских работ на имеющемся в ЦКП оборудовании;</w:t>
      </w:r>
      <w:r w:rsidRPr="00481679">
        <w:br/>
        <w:t> оказание услуг исследователям и научным коллективам как базовой организации, участникам, так и иным заинтересованным пользователям.</w:t>
      </w:r>
    </w:p>
    <w:p w:rsidR="001B05A9" w:rsidRDefault="006B5515" w:rsidP="006B5515">
      <w:pPr>
        <w:pStyle w:val="a3"/>
        <w:spacing w:before="0" w:after="0" w:line="324" w:lineRule="auto"/>
        <w:jc w:val="both"/>
      </w:pPr>
      <w:r w:rsidRPr="00481679">
        <w:t xml:space="preserve"> </w:t>
      </w:r>
    </w:p>
    <w:p w:rsidR="006B5515" w:rsidRDefault="00622129" w:rsidP="006B5515">
      <w:pPr>
        <w:pStyle w:val="a3"/>
        <w:spacing w:before="0" w:after="0" w:line="324" w:lineRule="auto"/>
        <w:jc w:val="both"/>
      </w:pPr>
      <w:r w:rsidRPr="00481679">
        <w:t>1.5. Основными задачами ЦКП являются:</w:t>
      </w:r>
      <w:r w:rsidR="006B5515" w:rsidRPr="00481679">
        <w:t xml:space="preserve"> </w:t>
      </w:r>
    </w:p>
    <w:p w:rsidR="006B5515" w:rsidRDefault="00622129" w:rsidP="006B5515">
      <w:pPr>
        <w:pStyle w:val="a3"/>
        <w:spacing w:before="0" w:after="0" w:line="324" w:lineRule="auto"/>
        <w:jc w:val="both"/>
      </w:pPr>
      <w:r w:rsidRPr="00481679">
        <w:t>1.5.1. обеспечение на современном уровне проведения исследований,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</w:t>
      </w:r>
      <w:r w:rsidR="006B5515">
        <w:t xml:space="preserve"> и сторонним организациям.</w:t>
      </w:r>
    </w:p>
    <w:p w:rsidR="006B5515" w:rsidRDefault="006B5515" w:rsidP="006B5515">
      <w:pPr>
        <w:pStyle w:val="a3"/>
        <w:spacing w:before="0" w:after="0" w:line="324" w:lineRule="auto"/>
        <w:jc w:val="both"/>
      </w:pPr>
      <w:r w:rsidRPr="00481679">
        <w:t xml:space="preserve"> </w:t>
      </w:r>
      <w:r w:rsidR="00622129" w:rsidRPr="00481679">
        <w:t xml:space="preserve">1.5.2. проведение </w:t>
      </w:r>
      <w:r w:rsidR="00481679">
        <w:t>научно-исследовательских</w:t>
      </w:r>
      <w:r w:rsidR="00622129" w:rsidRPr="00481679">
        <w:t xml:space="preserve"> и опытно-конструкторских работ в рамках основных направлений деятельности и с применением </w:t>
      </w:r>
      <w:r w:rsidR="00481679">
        <w:t xml:space="preserve">аналитической и </w:t>
      </w:r>
      <w:r w:rsidR="00622129" w:rsidRPr="00481679">
        <w:t>технологической базы ЦКП;</w:t>
      </w:r>
      <w:r w:rsidR="00481679">
        <w:t xml:space="preserve"> </w:t>
      </w:r>
      <w:r w:rsidR="00622129" w:rsidRPr="00481679">
        <w:t>повышение уровня загрузки научного оборудования в ЦКП;</w:t>
      </w:r>
      <w:r w:rsidR="00622129" w:rsidRPr="00481679">
        <w:br/>
      </w:r>
      <w:r w:rsidR="00622129" w:rsidRPr="00481679">
        <w:lastRenderedPageBreak/>
        <w:t>1.5.3. обеспечение единства и достоверности измерений при проведении научных исследований на оборудовании ЦКП;</w:t>
      </w:r>
    </w:p>
    <w:p w:rsidR="006B5515" w:rsidRDefault="006B5515" w:rsidP="006B5515">
      <w:pPr>
        <w:pStyle w:val="a3"/>
        <w:spacing w:before="0" w:after="0" w:line="324" w:lineRule="auto"/>
        <w:jc w:val="both"/>
      </w:pPr>
      <w:r w:rsidRPr="00481679">
        <w:t xml:space="preserve"> </w:t>
      </w:r>
      <w:r w:rsidR="00622129" w:rsidRPr="00481679">
        <w:t>1.5.4. 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  <w:r w:rsidR="00622129" w:rsidRPr="00481679">
        <w:br/>
        <w:t>1.5.5. реализация мероприятий программы развития ЦКП.</w:t>
      </w:r>
    </w:p>
    <w:p w:rsidR="001B05A9" w:rsidRDefault="006B5515" w:rsidP="006B5515">
      <w:pPr>
        <w:pStyle w:val="a3"/>
        <w:spacing w:before="0" w:after="0" w:line="324" w:lineRule="auto"/>
        <w:jc w:val="both"/>
      </w:pPr>
      <w:r w:rsidRPr="00481679">
        <w:t xml:space="preserve"> </w:t>
      </w:r>
    </w:p>
    <w:p w:rsidR="006B5515" w:rsidRPr="006C6CE0" w:rsidRDefault="00622129" w:rsidP="006B5515">
      <w:pPr>
        <w:pStyle w:val="a3"/>
        <w:spacing w:before="0" w:after="0" w:line="324" w:lineRule="auto"/>
        <w:jc w:val="both"/>
      </w:pPr>
      <w:r w:rsidRPr="00481679">
        <w:t>1.6.Научные направления деятельности ЦКП в соответствии с перечнем критических технологий развития науки, технологий и техники Российской Федерации (утверждены Указом  Президента РФ от 07.07.2011 N 899 "Об утверждении приоритетных направлений развития науки, технологий и техники в РФ и перечня критических технологий РФ")</w:t>
      </w:r>
      <w:r w:rsidR="00674469">
        <w:t>,</w:t>
      </w:r>
      <w:r w:rsidRPr="00481679">
        <w:t xml:space="preserve"> а именно:</w:t>
      </w:r>
    </w:p>
    <w:p w:rsidR="006C6CE0" w:rsidRPr="006C6CE0" w:rsidRDefault="006C6CE0" w:rsidP="006B5515">
      <w:pPr>
        <w:pStyle w:val="a3"/>
        <w:spacing w:before="0" w:after="0" w:line="324" w:lineRule="auto"/>
        <w:jc w:val="both"/>
      </w:pPr>
    </w:p>
    <w:p w:rsidR="00C776C9" w:rsidRPr="00EC76D1" w:rsidRDefault="00C776C9" w:rsidP="00EC76D1">
      <w:pPr>
        <w:pStyle w:val="a4"/>
        <w:numPr>
          <w:ilvl w:val="0"/>
          <w:numId w:val="4"/>
        </w:numPr>
        <w:spacing w:line="324" w:lineRule="auto"/>
        <w:rPr>
          <w:rFonts w:ascii="Times New Roman" w:hAnsi="Times New Roman"/>
          <w:sz w:val="24"/>
          <w:szCs w:val="24"/>
        </w:rPr>
      </w:pPr>
      <w:r w:rsidRPr="00EC76D1">
        <w:rPr>
          <w:rFonts w:ascii="Times New Roman" w:hAnsi="Times New Roman"/>
          <w:sz w:val="24"/>
          <w:szCs w:val="24"/>
        </w:rPr>
        <w:t xml:space="preserve">разработка технологий перспективной элементной базы </w:t>
      </w:r>
      <w:proofErr w:type="spellStart"/>
      <w:r w:rsidRPr="00EC76D1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C76D1">
        <w:rPr>
          <w:rFonts w:ascii="Times New Roman" w:hAnsi="Times New Roman"/>
          <w:sz w:val="24"/>
          <w:szCs w:val="24"/>
        </w:rPr>
        <w:t xml:space="preserve"> с проектными нормами 32 – 8 нм;</w:t>
      </w:r>
    </w:p>
    <w:p w:rsidR="00C776C9" w:rsidRPr="00EC76D1" w:rsidRDefault="00C776C9" w:rsidP="00EC76D1">
      <w:pPr>
        <w:pStyle w:val="a4"/>
        <w:numPr>
          <w:ilvl w:val="0"/>
          <w:numId w:val="4"/>
        </w:numPr>
        <w:spacing w:line="324" w:lineRule="auto"/>
        <w:rPr>
          <w:rFonts w:ascii="Times New Roman" w:hAnsi="Times New Roman"/>
          <w:sz w:val="24"/>
          <w:szCs w:val="24"/>
        </w:rPr>
      </w:pPr>
      <w:r w:rsidRPr="00EC76D1">
        <w:rPr>
          <w:rFonts w:ascii="Times New Roman" w:hAnsi="Times New Roman"/>
          <w:sz w:val="24"/>
          <w:szCs w:val="24"/>
        </w:rPr>
        <w:t>разработка технологий перспективной элементной базы МЭМС и НЭМС.</w:t>
      </w:r>
    </w:p>
    <w:p w:rsidR="00C776C9" w:rsidRPr="00EC76D1" w:rsidRDefault="00C776C9" w:rsidP="00EC76D1">
      <w:pPr>
        <w:pStyle w:val="a4"/>
        <w:numPr>
          <w:ilvl w:val="0"/>
          <w:numId w:val="4"/>
        </w:numPr>
        <w:spacing w:line="324" w:lineRule="auto"/>
        <w:rPr>
          <w:rFonts w:ascii="Times New Roman" w:hAnsi="Times New Roman"/>
          <w:sz w:val="24"/>
          <w:szCs w:val="24"/>
        </w:rPr>
      </w:pPr>
      <w:r w:rsidRPr="00EC76D1">
        <w:rPr>
          <w:rFonts w:ascii="Times New Roman" w:hAnsi="Times New Roman"/>
          <w:sz w:val="24"/>
          <w:szCs w:val="24"/>
        </w:rPr>
        <w:t xml:space="preserve">развитие нового направления электронной компонентной базы, объединяющей МЭМС, </w:t>
      </w:r>
      <w:proofErr w:type="spellStart"/>
      <w:r w:rsidRPr="00EC76D1">
        <w:rPr>
          <w:rFonts w:ascii="Times New Roman" w:hAnsi="Times New Roman"/>
          <w:sz w:val="24"/>
          <w:szCs w:val="24"/>
        </w:rPr>
        <w:t>наноэлектронику</w:t>
      </w:r>
      <w:proofErr w:type="spellEnd"/>
      <w:r w:rsidRPr="00EC76D1">
        <w:rPr>
          <w:rFonts w:ascii="Times New Roman" w:hAnsi="Times New Roman"/>
          <w:sz w:val="24"/>
          <w:szCs w:val="24"/>
        </w:rPr>
        <w:t xml:space="preserve"> и физические эффекты;</w:t>
      </w:r>
    </w:p>
    <w:p w:rsidR="00C776C9" w:rsidRDefault="00C776C9" w:rsidP="00EC76D1">
      <w:pPr>
        <w:pStyle w:val="a4"/>
        <w:numPr>
          <w:ilvl w:val="0"/>
          <w:numId w:val="4"/>
        </w:numPr>
        <w:spacing w:line="324" w:lineRule="auto"/>
      </w:pPr>
      <w:r w:rsidRPr="00EC76D1">
        <w:rPr>
          <w:rFonts w:ascii="Times New Roman" w:hAnsi="Times New Roman"/>
          <w:sz w:val="24"/>
          <w:szCs w:val="24"/>
        </w:rPr>
        <w:t xml:space="preserve">ориентация предприятия на решение текущих задач </w:t>
      </w:r>
      <w:proofErr w:type="spellStart"/>
      <w:r w:rsidRPr="00EC76D1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EC76D1">
        <w:rPr>
          <w:rFonts w:ascii="Times New Roman" w:hAnsi="Times New Roman"/>
          <w:sz w:val="24"/>
          <w:szCs w:val="24"/>
        </w:rPr>
        <w:t xml:space="preserve"> России по развитию </w:t>
      </w:r>
      <w:proofErr w:type="spellStart"/>
      <w:r w:rsidRPr="00EC76D1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EC76D1">
        <w:rPr>
          <w:rFonts w:ascii="Times New Roman" w:hAnsi="Times New Roman"/>
          <w:sz w:val="24"/>
          <w:szCs w:val="24"/>
        </w:rPr>
        <w:t xml:space="preserve"> и радиоэлектроники, включая оказание услуг и проведение совместных исследований перспективных материалов и элементов </w:t>
      </w:r>
      <w:proofErr w:type="spellStart"/>
      <w:r w:rsidRPr="00EC76D1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EC76D1">
        <w:rPr>
          <w:rFonts w:ascii="Times New Roman" w:hAnsi="Times New Roman"/>
          <w:sz w:val="24"/>
          <w:szCs w:val="24"/>
        </w:rPr>
        <w:t xml:space="preserve"> с проектными нормами 90 - 32 нм.  </w:t>
      </w:r>
    </w:p>
    <w:p w:rsidR="00EC76D1" w:rsidRDefault="00EC76D1" w:rsidP="00EC76D1">
      <w:pPr>
        <w:pStyle w:val="msonormalbullet1gif"/>
        <w:numPr>
          <w:ilvl w:val="0"/>
          <w:numId w:val="4"/>
        </w:numPr>
        <w:spacing w:before="0" w:beforeAutospacing="0" w:after="0" w:afterAutospacing="0" w:line="324" w:lineRule="auto"/>
        <w:contextualSpacing/>
        <w:jc w:val="both"/>
      </w:pPr>
      <w:r>
        <w:t>коллективное использование современного аналитического и технологического оборудования (в том числе технологических и аналитических станций, использующих синхротронное излучение), методических и метрологических разработок ЦКП при выполнении фундаментальных и прикладных исследований по проектам региональных, федеральных и международных программ в соответствии с приоритетными направлениями развития науки и техники и критическими технологиями федерального уровня.</w:t>
      </w:r>
    </w:p>
    <w:p w:rsidR="00C776C9" w:rsidRDefault="00C776C9" w:rsidP="00C776C9">
      <w:pPr>
        <w:pStyle w:val="a3"/>
        <w:spacing w:before="0" w:after="0" w:line="324" w:lineRule="auto"/>
        <w:jc w:val="both"/>
      </w:pPr>
    </w:p>
    <w:p w:rsidR="00622129" w:rsidRPr="006C6CE0" w:rsidRDefault="00622129" w:rsidP="00C776C9">
      <w:pPr>
        <w:pStyle w:val="a3"/>
        <w:spacing w:before="0" w:after="0" w:line="324" w:lineRule="auto"/>
        <w:jc w:val="both"/>
      </w:pPr>
      <w:r w:rsidRPr="006C6CE0">
        <w:t xml:space="preserve"> 2. Структура ЦКП</w:t>
      </w:r>
      <w:r w:rsidR="006C6CE0" w:rsidRPr="006C6CE0">
        <w:t>.</w:t>
      </w:r>
    </w:p>
    <w:p w:rsidR="00B17E4F" w:rsidRPr="00B17E4F" w:rsidRDefault="00622129" w:rsidP="00B17E4F">
      <w:pPr>
        <w:pStyle w:val="a3"/>
        <w:spacing w:before="0" w:after="0" w:line="324" w:lineRule="auto"/>
      </w:pPr>
      <w:r w:rsidRPr="00B17E4F">
        <w:t xml:space="preserve">2.1. ЦКП включает </w:t>
      </w:r>
      <w:r w:rsidR="00F64FA9" w:rsidRPr="00B17E4F">
        <w:t>в себя  следующие подразделения</w:t>
      </w:r>
      <w:r w:rsidRPr="00B17E4F">
        <w:t>:  </w:t>
      </w:r>
      <w:r w:rsidRPr="00B17E4F">
        <w:br/>
        <w:t xml:space="preserve">- </w:t>
      </w:r>
      <w:r w:rsidR="006C6CE0" w:rsidRPr="00B17E4F">
        <w:t>л</w:t>
      </w:r>
      <w:r w:rsidRPr="00B17E4F">
        <w:t xml:space="preserve">аборатория </w:t>
      </w:r>
      <w:r w:rsidR="006C6CE0" w:rsidRPr="00B17E4F">
        <w:t>физико-аналитических исследований</w:t>
      </w:r>
      <w:r w:rsidRPr="00B17E4F">
        <w:t>;</w:t>
      </w:r>
      <w:r w:rsidRPr="00B17E4F">
        <w:br/>
        <w:t xml:space="preserve">- </w:t>
      </w:r>
      <w:r w:rsidR="006C6CE0" w:rsidRPr="00B17E4F">
        <w:t>сектор технического обслуживания</w:t>
      </w:r>
      <w:r w:rsidRPr="00B17E4F">
        <w:t>;</w:t>
      </w:r>
      <w:r w:rsidRPr="00B17E4F">
        <w:br/>
        <w:t xml:space="preserve">- </w:t>
      </w:r>
      <w:r w:rsidR="00B17E4F" w:rsidRPr="00B17E4F">
        <w:t xml:space="preserve">испытательная лаборатория; </w:t>
      </w:r>
    </w:p>
    <w:p w:rsidR="00622129" w:rsidRPr="00B17E4F" w:rsidRDefault="00622129" w:rsidP="00B17E4F">
      <w:pPr>
        <w:pStyle w:val="a3"/>
        <w:spacing w:before="0" w:after="0" w:line="324" w:lineRule="auto"/>
      </w:pPr>
      <w:r w:rsidRPr="00B17E4F">
        <w:t xml:space="preserve">- </w:t>
      </w:r>
      <w:r w:rsidR="006C6CE0" w:rsidRPr="00B17E4F">
        <w:t>сектор метрологического обеспечения</w:t>
      </w:r>
      <w:r w:rsidR="00B17E4F" w:rsidRPr="00B17E4F">
        <w:t>.</w:t>
      </w:r>
      <w:r w:rsidRPr="00B17E4F">
        <w:br/>
      </w:r>
    </w:p>
    <w:p w:rsidR="00622129" w:rsidRPr="00481679" w:rsidRDefault="00622129" w:rsidP="005021E3">
      <w:pPr>
        <w:pStyle w:val="3"/>
        <w:spacing w:before="0" w:after="0"/>
        <w:jc w:val="both"/>
        <w:rPr>
          <w:sz w:val="24"/>
          <w:szCs w:val="24"/>
        </w:rPr>
      </w:pPr>
      <w:r w:rsidRPr="00481679">
        <w:rPr>
          <w:sz w:val="24"/>
          <w:szCs w:val="24"/>
        </w:rPr>
        <w:t>3. Оборудование ЦКП.</w:t>
      </w:r>
    </w:p>
    <w:p w:rsidR="00F64FA9" w:rsidRDefault="00622129" w:rsidP="005021E3">
      <w:pPr>
        <w:pStyle w:val="a3"/>
        <w:spacing w:before="0" w:after="0" w:line="324" w:lineRule="auto"/>
        <w:jc w:val="both"/>
      </w:pPr>
      <w:r w:rsidRPr="00481679">
        <w:t xml:space="preserve">3.1. Перечень научного оборудования, закрепленного за ЦКП для обеспечения его деятельности,  указан в </w:t>
      </w:r>
      <w:r w:rsidR="00264ACE">
        <w:t>Приложении</w:t>
      </w:r>
      <w:r w:rsidR="00264ACE" w:rsidRPr="00264ACE">
        <w:t xml:space="preserve"> </w:t>
      </w:r>
      <w:r w:rsidRPr="00264ACE">
        <w:t>1.</w:t>
      </w:r>
      <w:r w:rsidRPr="00481679">
        <w:t>Перечень оборудования уточняется ежегодно.</w:t>
      </w:r>
      <w:r w:rsidRPr="00481679">
        <w:br/>
      </w:r>
      <w:r w:rsidRPr="00481679">
        <w:lastRenderedPageBreak/>
        <w:t xml:space="preserve">3.2. Обеспечение деятельности ЦКП в подразделениях </w:t>
      </w:r>
      <w:r w:rsidR="00C776C9">
        <w:t xml:space="preserve">ФГУП «НИИФП им. Ф В.Лукина» </w:t>
      </w:r>
      <w:r w:rsidRPr="00481679">
        <w:t xml:space="preserve">осуществляется самостоятельно, в том числе в рамках выполнения государственных контрактов, направленных на выполнение работ по развитию сети ЦКП. </w:t>
      </w:r>
    </w:p>
    <w:p w:rsidR="00622129" w:rsidRPr="00481679" w:rsidRDefault="00622129" w:rsidP="005021E3">
      <w:pPr>
        <w:pStyle w:val="a3"/>
        <w:spacing w:before="0" w:after="0" w:line="324" w:lineRule="auto"/>
        <w:jc w:val="both"/>
      </w:pPr>
      <w:r w:rsidRPr="00481679">
        <w:t>3.3.ЦКП использует средства на достижение целей и решение задач, предусмотренных настоящим Положением.</w:t>
      </w:r>
    </w:p>
    <w:p w:rsidR="00C776C9" w:rsidRDefault="00C776C9" w:rsidP="005F70A5">
      <w:pPr>
        <w:pStyle w:val="3"/>
        <w:spacing w:before="0" w:after="0"/>
        <w:jc w:val="both"/>
        <w:rPr>
          <w:sz w:val="24"/>
          <w:szCs w:val="24"/>
        </w:rPr>
      </w:pPr>
    </w:p>
    <w:p w:rsidR="00622129" w:rsidRPr="00481679" w:rsidRDefault="00622129" w:rsidP="005F70A5">
      <w:pPr>
        <w:pStyle w:val="3"/>
        <w:spacing w:before="0" w:after="0"/>
        <w:jc w:val="both"/>
        <w:rPr>
          <w:sz w:val="24"/>
          <w:szCs w:val="24"/>
        </w:rPr>
      </w:pPr>
      <w:r w:rsidRPr="00481679">
        <w:rPr>
          <w:sz w:val="24"/>
          <w:szCs w:val="24"/>
        </w:rPr>
        <w:t>4. Организация деятельности ЦКП:</w:t>
      </w:r>
    </w:p>
    <w:p w:rsidR="00F64FA9" w:rsidRDefault="00622129" w:rsidP="005F70A5">
      <w:pPr>
        <w:pStyle w:val="a3"/>
        <w:spacing w:before="0" w:after="0" w:line="324" w:lineRule="auto"/>
        <w:jc w:val="both"/>
      </w:pPr>
      <w:r w:rsidRPr="00481679">
        <w:t>4.1. Общее руководство деятельностью ЦКП  осуществляется</w:t>
      </w:r>
      <w:r w:rsidR="009E3BA5">
        <w:t xml:space="preserve"> руководителем ЦКП</w:t>
      </w:r>
      <w:r w:rsidR="005F70A5">
        <w:t>;</w:t>
      </w:r>
      <w:r w:rsidRPr="00481679">
        <w:t xml:space="preserve"> </w:t>
      </w:r>
    </w:p>
    <w:p w:rsidR="005F70A5" w:rsidRDefault="00622129" w:rsidP="005F70A5">
      <w:pPr>
        <w:pStyle w:val="a3"/>
        <w:spacing w:before="0" w:after="0" w:line="324" w:lineRule="auto"/>
        <w:jc w:val="both"/>
      </w:pPr>
      <w:r w:rsidRPr="00F64FA9">
        <w:t>4.</w:t>
      </w:r>
      <w:r w:rsidR="00F64FA9" w:rsidRPr="00F64FA9">
        <w:t>2</w:t>
      </w:r>
      <w:r w:rsidRPr="00F64FA9">
        <w:t xml:space="preserve">. Структура, списочный состав, штатное расписание, должностные инструкции сотрудников ЦКП утверждается ежегодно </w:t>
      </w:r>
      <w:r w:rsidR="00F64FA9" w:rsidRPr="00F64FA9">
        <w:t xml:space="preserve">директором ФГУП «НИИФП им. Ф В.Лукина» по представлению </w:t>
      </w:r>
      <w:r w:rsidRPr="00F64FA9">
        <w:t>руководител</w:t>
      </w:r>
      <w:r w:rsidR="00F64FA9" w:rsidRPr="00F64FA9">
        <w:t xml:space="preserve">я </w:t>
      </w:r>
      <w:r w:rsidRPr="00F64FA9">
        <w:t xml:space="preserve"> ЦКП</w:t>
      </w:r>
      <w:r w:rsidR="005F70A5">
        <w:t xml:space="preserve">; </w:t>
      </w:r>
    </w:p>
    <w:p w:rsidR="005F70A5" w:rsidRDefault="00622129" w:rsidP="005F70A5">
      <w:pPr>
        <w:pStyle w:val="a3"/>
        <w:spacing w:before="0" w:after="0" w:line="324" w:lineRule="auto"/>
        <w:jc w:val="both"/>
      </w:pPr>
      <w:r w:rsidRPr="00481679">
        <w:t>4.</w:t>
      </w:r>
      <w:r w:rsidR="005F70A5">
        <w:t>3</w:t>
      </w:r>
      <w:r w:rsidRPr="00481679">
        <w:t>. Порядок обеспечения проведения научных исследований и оказания услуг определяет руководитель базовой организации в соответствии с действующим законодательством Российской Федерации.</w:t>
      </w:r>
    </w:p>
    <w:p w:rsidR="005F70A5" w:rsidRDefault="005F70A5" w:rsidP="005F70A5">
      <w:pPr>
        <w:pStyle w:val="a3"/>
        <w:spacing w:before="0" w:after="0" w:line="324" w:lineRule="auto"/>
        <w:jc w:val="both"/>
      </w:pPr>
      <w:r w:rsidRPr="00481679">
        <w:t xml:space="preserve"> </w:t>
      </w:r>
      <w:r w:rsidR="00622129" w:rsidRPr="00481679">
        <w:t>4.. Услуги коллективного пользования научным оборудованием могут предоставляться как на возмездной, так и безвозмездной основе.</w:t>
      </w:r>
    </w:p>
    <w:p w:rsidR="005F70A5" w:rsidRDefault="005F70A5" w:rsidP="005F70A5">
      <w:pPr>
        <w:pStyle w:val="a3"/>
        <w:spacing w:before="0" w:after="0" w:line="324" w:lineRule="auto"/>
        <w:jc w:val="both"/>
      </w:pPr>
      <w:r w:rsidRPr="00481679">
        <w:t xml:space="preserve"> </w:t>
      </w:r>
      <w:r w:rsidR="00622129" w:rsidRPr="00481679">
        <w:t xml:space="preserve">4.6. Проведение ЦКП научных исследований и оказание услуг на возмездной основе заинтересованным пользователям осуществляется на основе договора между организацией-заказчиком и </w:t>
      </w:r>
      <w:r w:rsidR="00EC76D1">
        <w:t>ФГУП «НИИФП им. Ф В.Лукина»</w:t>
      </w:r>
      <w:r w:rsidR="00622129" w:rsidRPr="00481679">
        <w:t>.</w:t>
      </w:r>
    </w:p>
    <w:p w:rsidR="009715C3" w:rsidRPr="005021E3" w:rsidRDefault="005F70A5" w:rsidP="005F70A5">
      <w:pPr>
        <w:pStyle w:val="a3"/>
        <w:spacing w:before="0" w:after="0" w:line="324" w:lineRule="auto"/>
        <w:jc w:val="both"/>
      </w:pPr>
      <w:r w:rsidRPr="00481679">
        <w:t xml:space="preserve"> </w:t>
      </w:r>
      <w:r w:rsidR="00622129" w:rsidRPr="00481679">
        <w:t xml:space="preserve">4.7. </w:t>
      </w:r>
      <w:proofErr w:type="gramStart"/>
      <w:r w:rsidR="00622129" w:rsidRPr="00481679">
        <w:t>Контроль</w:t>
      </w:r>
      <w:r w:rsidR="009E3BA5">
        <w:t xml:space="preserve"> </w:t>
      </w:r>
      <w:r w:rsidR="00622129" w:rsidRPr="00481679">
        <w:t xml:space="preserve"> за</w:t>
      </w:r>
      <w:proofErr w:type="gramEnd"/>
      <w:r w:rsidR="00622129" w:rsidRPr="00481679">
        <w:t xml:space="preserve"> осуществлением деятельности ЦКП осуществляет </w:t>
      </w:r>
      <w:r w:rsidR="009715C3">
        <w:t>директор</w:t>
      </w:r>
      <w:r w:rsidR="009715C3" w:rsidRPr="00F64FA9">
        <w:t xml:space="preserve"> </w:t>
      </w:r>
      <w:r w:rsidR="009715C3">
        <w:t>ФГУП «НИИФП им. Ф В.Лукина»</w:t>
      </w:r>
      <w:r>
        <w:t>.</w:t>
      </w:r>
      <w:r w:rsidR="009715C3">
        <w:t xml:space="preserve"> </w:t>
      </w:r>
    </w:p>
    <w:p w:rsidR="00622129" w:rsidRPr="00481679" w:rsidRDefault="00622129" w:rsidP="009715C3">
      <w:pPr>
        <w:pStyle w:val="a3"/>
        <w:spacing w:before="0" w:after="0" w:line="324" w:lineRule="auto"/>
      </w:pPr>
      <w:r w:rsidRPr="00481679">
        <w:t>5. Прекращение деятельности и ликвидация ЦКП.</w:t>
      </w:r>
    </w:p>
    <w:p w:rsidR="00622129" w:rsidRDefault="00622129" w:rsidP="009715C3">
      <w:pPr>
        <w:pStyle w:val="a3"/>
        <w:spacing w:before="0" w:after="0" w:line="324" w:lineRule="auto"/>
      </w:pPr>
      <w:r w:rsidRPr="00481679">
        <w:t xml:space="preserve">5.1. Прекращение деятельности и ликвидация ЦКП осуществляется в установленном порядке на основании приказа </w:t>
      </w:r>
      <w:r w:rsidR="00F64FA9">
        <w:t>директора</w:t>
      </w:r>
      <w:r w:rsidR="00F64FA9" w:rsidRPr="00F64FA9">
        <w:t xml:space="preserve"> </w:t>
      </w:r>
      <w:r w:rsidR="00F64FA9">
        <w:t xml:space="preserve">ФГУП «НИИФП им. Ф В.Лукина» </w:t>
      </w:r>
    </w:p>
    <w:p w:rsidR="002C4792" w:rsidRDefault="002C4792" w:rsidP="009715C3">
      <w:pPr>
        <w:pStyle w:val="a3"/>
        <w:spacing w:before="0" w:after="0" w:line="324" w:lineRule="auto"/>
      </w:pPr>
    </w:p>
    <w:p w:rsidR="009E3BA5" w:rsidRDefault="009E3BA5" w:rsidP="009715C3">
      <w:pPr>
        <w:pStyle w:val="a3"/>
        <w:spacing w:before="0" w:after="0" w:line="324" w:lineRule="auto"/>
      </w:pPr>
    </w:p>
    <w:p w:rsidR="002C4792" w:rsidRPr="00481679" w:rsidRDefault="002C4792" w:rsidP="009715C3">
      <w:pPr>
        <w:pStyle w:val="a3"/>
        <w:spacing w:before="0" w:after="0" w:line="324" w:lineRule="auto"/>
      </w:pPr>
    </w:p>
    <w:p w:rsidR="00C776C9" w:rsidRDefault="002C4792" w:rsidP="00C77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60E5A" w:rsidRPr="00BE0B90" w:rsidRDefault="002C4792" w:rsidP="00C77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ЦКП «Синхротрон»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B90" w:rsidRPr="00BE0B90">
        <w:rPr>
          <w:rFonts w:ascii="Times New Roman" w:hAnsi="Times New Roman" w:cs="Times New Roman"/>
          <w:sz w:val="24"/>
          <w:szCs w:val="24"/>
        </w:rPr>
        <w:tab/>
      </w:r>
      <w:r w:rsidR="00BE0B90" w:rsidRPr="00BE0B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938" w:type="pct"/>
        <w:tblCellMar>
          <w:left w:w="0" w:type="dxa"/>
          <w:right w:w="0" w:type="dxa"/>
        </w:tblCellMar>
        <w:tblLook w:val="04A0"/>
      </w:tblPr>
      <w:tblGrid>
        <w:gridCol w:w="2456"/>
        <w:gridCol w:w="2456"/>
        <w:gridCol w:w="2456"/>
      </w:tblGrid>
      <w:tr w:rsidR="00264ACE" w:rsidTr="00EC285A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jc w:val="center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jc w:val="center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jc w:val="center"/>
              <w:rPr>
                <w:rFonts w:ascii="Helvetica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  <w:tr w:rsidR="00264ACE" w:rsidTr="00EC285A"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4ACE" w:rsidRDefault="00264ACE" w:rsidP="00EC285A">
            <w:pPr>
              <w:spacing w:line="229" w:lineRule="atLeast"/>
              <w:rPr>
                <w:rFonts w:ascii="Helvetica" w:hAnsi="Helvetica" w:cs="Helvetica"/>
                <w:color w:val="333333"/>
                <w:sz w:val="17"/>
                <w:szCs w:val="17"/>
              </w:rPr>
            </w:pPr>
          </w:p>
        </w:tc>
      </w:tr>
    </w:tbl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149" w:rsidRDefault="00534149" w:rsidP="00534149">
      <w:pPr>
        <w:jc w:val="right"/>
        <w:rPr>
          <w:rFonts w:ascii="Times New Roman" w:hAnsi="Times New Roman" w:cs="Times New Roman"/>
          <w:sz w:val="24"/>
          <w:szCs w:val="24"/>
        </w:rPr>
      </w:pPr>
      <w:r w:rsidRPr="005704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4149" w:rsidRPr="005704E7" w:rsidRDefault="00534149" w:rsidP="00534149">
      <w:pPr>
        <w:pStyle w:val="2"/>
        <w:shd w:val="clear" w:color="auto" w:fill="FFFFFF"/>
        <w:spacing w:after="191" w:line="360" w:lineRule="auto"/>
        <w:jc w:val="center"/>
        <w:rPr>
          <w:color w:val="232323"/>
          <w:sz w:val="28"/>
          <w:szCs w:val="28"/>
        </w:rPr>
      </w:pPr>
      <w:r w:rsidRPr="005704E7">
        <w:rPr>
          <w:color w:val="232323"/>
          <w:sz w:val="28"/>
          <w:szCs w:val="28"/>
        </w:rPr>
        <w:t>Перечень научного оборудования, закрепленного за ЦКП</w:t>
      </w: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Pr="00BE0B90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Default="00264ACE" w:rsidP="00264ACE">
      <w:pPr>
        <w:pStyle w:val="2"/>
        <w:shd w:val="clear" w:color="auto" w:fill="FFFFFF"/>
        <w:spacing w:after="191" w:line="360" w:lineRule="auto"/>
        <w:jc w:val="center"/>
        <w:rPr>
          <w:color w:val="232323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3531"/>
        <w:tblW w:w="0" w:type="auto"/>
        <w:tblLook w:val="04A0"/>
      </w:tblPr>
      <w:tblGrid>
        <w:gridCol w:w="959"/>
        <w:gridCol w:w="7455"/>
        <w:gridCol w:w="1157"/>
      </w:tblGrid>
      <w:tr w:rsidR="00264ACE" w:rsidRPr="002C2DE1" w:rsidTr="00EC285A">
        <w:tc>
          <w:tcPr>
            <w:tcW w:w="959" w:type="dxa"/>
          </w:tcPr>
          <w:p w:rsidR="00264ACE" w:rsidRPr="002C2DE1" w:rsidRDefault="00264ACE" w:rsidP="00E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ACE" w:rsidRPr="002C2DE1" w:rsidRDefault="00264ACE" w:rsidP="00E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55" w:type="dxa"/>
          </w:tcPr>
          <w:p w:rsidR="00264ACE" w:rsidRPr="002C2DE1" w:rsidRDefault="00264ACE" w:rsidP="00EC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ACE" w:rsidRPr="002C2DE1" w:rsidRDefault="00264ACE" w:rsidP="00EC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  <w:p w:rsidR="00264ACE" w:rsidRPr="00BE0B90" w:rsidRDefault="00264ACE" w:rsidP="00E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264ACE" w:rsidRPr="002C2DE1" w:rsidRDefault="00264ACE" w:rsidP="00EC2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4ACE" w:rsidRPr="00BE0B90" w:rsidRDefault="00264ACE" w:rsidP="00EC2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BE0B90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64ACE" w:rsidRPr="002C2DE1" w:rsidRDefault="00264ACE" w:rsidP="00E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Растровый электронный микроскоп                    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proofErr w:type="spellEnd"/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55" w:type="dxa"/>
          </w:tcPr>
          <w:p w:rsidR="00264ACE" w:rsidRPr="002C2DE1" w:rsidRDefault="00264ACE" w:rsidP="00E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Вторично-ионный масс спектрометр                   IMS - 4f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64ACE" w:rsidRPr="002C2DE1" w:rsidRDefault="00264ACE" w:rsidP="00E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Просвечивающий электронный микроскоп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Tecnai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G2 20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264ACE" w:rsidRPr="002C2DE1" w:rsidRDefault="00264ACE" w:rsidP="00EC2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спектрометр                            PHI 660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Сканирующий зондовый микроскоп                  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Solver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Pro-M</w:t>
            </w:r>
            <w:proofErr w:type="spellEnd"/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Энергодисперсионная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                       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Inca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Волнодисперсионный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                    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Inca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Измеритель угла смачивания                               CAM 101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ИК-Фурье спектрометр                                        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Профилометр                                                        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Alpha-step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Сверхвысоковакуумный модуль сканирующего зондового микроскопа                                                            SPM01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264ACE" w:rsidRPr="002C2DE1" w:rsidTr="00EC285A">
        <w:tc>
          <w:tcPr>
            <w:tcW w:w="959" w:type="dxa"/>
          </w:tcPr>
          <w:p w:rsidR="00264ACE" w:rsidRPr="002C2DE1" w:rsidRDefault="00264ACE" w:rsidP="00264A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Аналитико-технологический модуль вторично-ионной масс-спектроскопии и </w:t>
            </w:r>
            <w:proofErr w:type="spellStart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наноэлектронной</w:t>
            </w:r>
            <w:proofErr w:type="spellEnd"/>
            <w:r w:rsidRPr="002C2DE1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1157" w:type="dxa"/>
            <w:vAlign w:val="center"/>
          </w:tcPr>
          <w:p w:rsidR="00264ACE" w:rsidRPr="002C2DE1" w:rsidRDefault="00264ACE" w:rsidP="00EC285A">
            <w:pPr>
              <w:spacing w:line="22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E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264ACE" w:rsidRPr="005704E7" w:rsidRDefault="00264ACE" w:rsidP="00264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ACE" w:rsidRPr="00264ACE" w:rsidRDefault="00264ACE" w:rsidP="00C776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4ACE" w:rsidRPr="00264ACE" w:rsidSect="0046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0B1"/>
    <w:multiLevelType w:val="hybridMultilevel"/>
    <w:tmpl w:val="BA98D3F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725739"/>
    <w:multiLevelType w:val="hybridMultilevel"/>
    <w:tmpl w:val="DF8A3CD6"/>
    <w:lvl w:ilvl="0" w:tplc="0419000F">
      <w:start w:val="1"/>
      <w:numFmt w:val="decimal"/>
      <w:lvlText w:val="%1."/>
      <w:lvlJc w:val="left"/>
      <w:pPr>
        <w:ind w:left="2762" w:hanging="360"/>
      </w:pPr>
    </w:lvl>
    <w:lvl w:ilvl="1" w:tplc="04190019" w:tentative="1">
      <w:start w:val="1"/>
      <w:numFmt w:val="lowerLetter"/>
      <w:lvlText w:val="%2."/>
      <w:lvlJc w:val="left"/>
      <w:pPr>
        <w:ind w:left="3482" w:hanging="360"/>
      </w:pPr>
    </w:lvl>
    <w:lvl w:ilvl="2" w:tplc="0419001B" w:tentative="1">
      <w:start w:val="1"/>
      <w:numFmt w:val="lowerRoman"/>
      <w:lvlText w:val="%3."/>
      <w:lvlJc w:val="right"/>
      <w:pPr>
        <w:ind w:left="4202" w:hanging="180"/>
      </w:pPr>
    </w:lvl>
    <w:lvl w:ilvl="3" w:tplc="0419000F" w:tentative="1">
      <w:start w:val="1"/>
      <w:numFmt w:val="decimal"/>
      <w:lvlText w:val="%4."/>
      <w:lvlJc w:val="left"/>
      <w:pPr>
        <w:ind w:left="4922" w:hanging="360"/>
      </w:pPr>
    </w:lvl>
    <w:lvl w:ilvl="4" w:tplc="04190019" w:tentative="1">
      <w:start w:val="1"/>
      <w:numFmt w:val="lowerLetter"/>
      <w:lvlText w:val="%5."/>
      <w:lvlJc w:val="left"/>
      <w:pPr>
        <w:ind w:left="5642" w:hanging="360"/>
      </w:pPr>
    </w:lvl>
    <w:lvl w:ilvl="5" w:tplc="0419001B" w:tentative="1">
      <w:start w:val="1"/>
      <w:numFmt w:val="lowerRoman"/>
      <w:lvlText w:val="%6."/>
      <w:lvlJc w:val="right"/>
      <w:pPr>
        <w:ind w:left="6362" w:hanging="180"/>
      </w:pPr>
    </w:lvl>
    <w:lvl w:ilvl="6" w:tplc="0419000F" w:tentative="1">
      <w:start w:val="1"/>
      <w:numFmt w:val="decimal"/>
      <w:lvlText w:val="%7."/>
      <w:lvlJc w:val="left"/>
      <w:pPr>
        <w:ind w:left="7082" w:hanging="360"/>
      </w:pPr>
    </w:lvl>
    <w:lvl w:ilvl="7" w:tplc="04190019" w:tentative="1">
      <w:start w:val="1"/>
      <w:numFmt w:val="lowerLetter"/>
      <w:lvlText w:val="%8."/>
      <w:lvlJc w:val="left"/>
      <w:pPr>
        <w:ind w:left="7802" w:hanging="360"/>
      </w:pPr>
    </w:lvl>
    <w:lvl w:ilvl="8" w:tplc="0419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2">
    <w:nsid w:val="7CFA45CD"/>
    <w:multiLevelType w:val="hybridMultilevel"/>
    <w:tmpl w:val="21DC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622129"/>
    <w:rsid w:val="00165264"/>
    <w:rsid w:val="0016797C"/>
    <w:rsid w:val="001B05A9"/>
    <w:rsid w:val="00261EBD"/>
    <w:rsid w:val="00264ACE"/>
    <w:rsid w:val="002C4792"/>
    <w:rsid w:val="00353C80"/>
    <w:rsid w:val="003A17F8"/>
    <w:rsid w:val="00401838"/>
    <w:rsid w:val="00460E5A"/>
    <w:rsid w:val="00481679"/>
    <w:rsid w:val="005021E3"/>
    <w:rsid w:val="00534149"/>
    <w:rsid w:val="005F70A5"/>
    <w:rsid w:val="00622129"/>
    <w:rsid w:val="00625DC9"/>
    <w:rsid w:val="00674469"/>
    <w:rsid w:val="006B5515"/>
    <w:rsid w:val="006C6CE0"/>
    <w:rsid w:val="0092550E"/>
    <w:rsid w:val="009715C3"/>
    <w:rsid w:val="009816B1"/>
    <w:rsid w:val="009C5A85"/>
    <w:rsid w:val="009E3BA5"/>
    <w:rsid w:val="00A03249"/>
    <w:rsid w:val="00A50366"/>
    <w:rsid w:val="00A721E3"/>
    <w:rsid w:val="00B04FBC"/>
    <w:rsid w:val="00B17E4F"/>
    <w:rsid w:val="00BE0B90"/>
    <w:rsid w:val="00C776C9"/>
    <w:rsid w:val="00D4710E"/>
    <w:rsid w:val="00DE7FD2"/>
    <w:rsid w:val="00E96D01"/>
    <w:rsid w:val="00EC76D1"/>
    <w:rsid w:val="00F64FA9"/>
    <w:rsid w:val="00F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A"/>
  </w:style>
  <w:style w:type="paragraph" w:styleId="2">
    <w:name w:val="heading 2"/>
    <w:basedOn w:val="a"/>
    <w:link w:val="20"/>
    <w:uiPriority w:val="9"/>
    <w:qFormat/>
    <w:rsid w:val="00264AC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129"/>
    <w:pPr>
      <w:spacing w:before="319" w:after="127" w:line="288" w:lineRule="auto"/>
      <w:outlineLvl w:val="2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129"/>
    <w:rPr>
      <w:rFonts w:ascii="Times New Roman" w:eastAsia="Times New Roman" w:hAnsi="Times New Roman" w:cs="Times New Roman"/>
      <w:sz w:val="42"/>
      <w:szCs w:val="42"/>
      <w:lang w:eastAsia="ru-RU"/>
    </w:rPr>
  </w:style>
  <w:style w:type="paragraph" w:styleId="a3">
    <w:name w:val="Normal (Web)"/>
    <w:basedOn w:val="a"/>
    <w:uiPriority w:val="99"/>
    <w:unhideWhenUsed/>
    <w:rsid w:val="00622129"/>
    <w:pPr>
      <w:spacing w:before="127" w:after="1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76C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64A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26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C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B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5293">
                                                          <w:marLeft w:val="254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9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3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9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43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1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1175">
                                                          <w:marLeft w:val="254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7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25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9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8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7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69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4</cp:revision>
  <dcterms:created xsi:type="dcterms:W3CDTF">2017-01-07T13:20:00Z</dcterms:created>
  <dcterms:modified xsi:type="dcterms:W3CDTF">2017-01-08T13:07:00Z</dcterms:modified>
</cp:coreProperties>
</file>